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E1685" w14:textId="5A33361C" w:rsidR="00B84B6C" w:rsidRDefault="00B84B6C" w:rsidP="00B84B6C">
      <w:pPr>
        <w:jc w:val="center"/>
        <w:rPr>
          <w:rFonts w:ascii="Comic Sans MS" w:eastAsia="Times New Roman" w:hAnsi="Comic Sans MS" w:cs="Times New Roman"/>
          <w:b/>
          <w:u w:val="single"/>
        </w:rPr>
      </w:pPr>
      <w:r>
        <w:rPr>
          <w:rFonts w:ascii="Comic Sans MS" w:eastAsia="Times New Roman" w:hAnsi="Comic Sans MS" w:cs="Times New Roman"/>
          <w:b/>
          <w:u w:val="single"/>
        </w:rPr>
        <w:t>ACTIVIDAD GRUPAL</w:t>
      </w:r>
      <w:r>
        <w:rPr>
          <w:rFonts w:ascii="Comic Sans MS" w:eastAsia="Times New Roman" w:hAnsi="Comic Sans MS" w:cs="Times New Roman"/>
          <w:b/>
          <w:u w:val="single"/>
        </w:rPr>
        <w:t xml:space="preserve"> TALLER “JUNTOS APRENDEMOS”</w:t>
      </w:r>
    </w:p>
    <w:p w14:paraId="05206DBF" w14:textId="77777777" w:rsidR="00B84B6C" w:rsidRDefault="00B84B6C" w:rsidP="00B84B6C">
      <w:pPr>
        <w:jc w:val="both"/>
        <w:rPr>
          <w:rFonts w:ascii="Comic Sans MS" w:eastAsia="Times New Roman" w:hAnsi="Comic Sans MS" w:cs="Times New Roman"/>
          <w:bCs/>
        </w:rPr>
      </w:pPr>
      <w:r w:rsidRPr="00B84B6C">
        <w:rPr>
          <w:rFonts w:ascii="Comic Sans MS" w:eastAsia="Times New Roman" w:hAnsi="Comic Sans MS" w:cs="Times New Roman"/>
          <w:bCs/>
        </w:rPr>
        <w:t xml:space="preserve">Estimado docente: </w:t>
      </w:r>
    </w:p>
    <w:p w14:paraId="79AFAB6E" w14:textId="5F74494D" w:rsidR="00B84B6C" w:rsidRPr="00B84B6C" w:rsidRDefault="00B84B6C" w:rsidP="00B84B6C">
      <w:pPr>
        <w:jc w:val="both"/>
        <w:rPr>
          <w:rFonts w:ascii="Comic Sans MS" w:eastAsia="Times New Roman" w:hAnsi="Comic Sans MS" w:cs="Times New Roman"/>
          <w:bCs/>
        </w:rPr>
      </w:pPr>
      <w:r w:rsidRPr="00B84B6C">
        <w:rPr>
          <w:rFonts w:ascii="Comic Sans MS" w:eastAsia="Times New Roman" w:hAnsi="Comic Sans MS" w:cs="Times New Roman"/>
          <w:bCs/>
        </w:rPr>
        <w:t>El presente taller tiene como objetivo llevar a la práctica lo planteado en el PPT</w:t>
      </w:r>
      <w:r>
        <w:rPr>
          <w:rFonts w:ascii="Comic Sans MS" w:eastAsia="Times New Roman" w:hAnsi="Comic Sans MS" w:cs="Times New Roman"/>
          <w:bCs/>
        </w:rPr>
        <w:t xml:space="preserve"> y recoger sus percepciones en relación al Trabajo Colaborativo.</w:t>
      </w:r>
      <w:r w:rsidRPr="00B84B6C">
        <w:rPr>
          <w:rFonts w:ascii="Comic Sans MS" w:eastAsia="Times New Roman" w:hAnsi="Comic Sans MS" w:cs="Times New Roman"/>
          <w:bCs/>
        </w:rPr>
        <w:t xml:space="preserve"> </w:t>
      </w:r>
    </w:p>
    <w:p w14:paraId="0A7B9447" w14:textId="77777777" w:rsidR="00B84B6C" w:rsidRDefault="00B84B6C" w:rsidP="00B84B6C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</w:p>
    <w:p w14:paraId="41F410EE" w14:textId="77777777" w:rsidR="00B84B6C" w:rsidRDefault="00B84B6C" w:rsidP="00B84B6C">
      <w:pPr>
        <w:jc w:val="center"/>
        <w:rPr>
          <w:rFonts w:ascii="Comic Sans MS" w:eastAsia="Comic Sans MS" w:hAnsi="Comic Sans MS" w:cs="Comic Sans MS"/>
          <w:sz w:val="26"/>
          <w:szCs w:val="26"/>
          <w:u w:val="single"/>
        </w:rPr>
      </w:pPr>
      <w:r>
        <w:rPr>
          <w:rFonts w:ascii="Comic Sans MS" w:eastAsia="Comic Sans MS" w:hAnsi="Comic Sans MS" w:cs="Comic Sans MS"/>
          <w:sz w:val="26"/>
          <w:szCs w:val="26"/>
          <w:u w:val="single"/>
        </w:rPr>
        <w:t>Modalidades de Trabajo Colaborativo</w:t>
      </w:r>
    </w:p>
    <w:p w14:paraId="4B3A4996" w14:textId="227EB743" w:rsidR="00B84B6C" w:rsidRDefault="00B84B6C" w:rsidP="00B84B6C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0E9BFE19" wp14:editId="78850787">
            <wp:extent cx="2819400" cy="206692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4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25D224" w14:textId="77777777" w:rsidR="00B84B6C" w:rsidRDefault="00B84B6C" w:rsidP="00B84B6C">
      <w:pPr>
        <w:spacing w:after="0" w:line="240" w:lineRule="auto"/>
        <w:jc w:val="both"/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  <w:u w:val="single"/>
        </w:rPr>
        <w:t>Comunidades de aprendizaje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>: Es un grupo de profesionales que comparten y cuestionan críticamente su práctica, de manera continua, reflexiva y colaborativa con una orientación al aprendizaje de los estudiantes.</w:t>
      </w:r>
    </w:p>
    <w:p w14:paraId="43FB6FF7" w14:textId="77777777" w:rsidR="00B84B6C" w:rsidRDefault="00B84B6C" w:rsidP="00B84B6C">
      <w:pPr>
        <w:spacing w:after="0" w:line="240" w:lineRule="auto"/>
        <w:jc w:val="both"/>
        <w:rPr>
          <w:rFonts w:ascii="Comic Sans MS" w:eastAsia="Comic Sans MS" w:hAnsi="Comic Sans MS" w:cs="Comic Sans MS"/>
          <w:color w:val="000000"/>
          <w:sz w:val="24"/>
          <w:szCs w:val="24"/>
        </w:rPr>
      </w:pPr>
    </w:p>
    <w:p w14:paraId="20033C1C" w14:textId="77777777" w:rsidR="00B84B6C" w:rsidRDefault="00B84B6C" w:rsidP="00B84B6C">
      <w:pPr>
        <w:spacing w:after="0" w:line="240" w:lineRule="auto"/>
        <w:jc w:val="both"/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  <w:u w:val="single"/>
        </w:rPr>
        <w:t>Estudio de clases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>: Grupo de docentes que se reúnen regularmente a planificar sus clases, y luego las observan y retroalimentan para la mejora. Considera un ciclo que incluye la planificación y preparación de la clase, luego la ejecución, seguida por la observación, retroalimentación y rediseño.</w:t>
      </w:r>
    </w:p>
    <w:p w14:paraId="3725CECC" w14:textId="77777777" w:rsidR="00B84B6C" w:rsidRDefault="00B84B6C" w:rsidP="00B84B6C">
      <w:pPr>
        <w:spacing w:after="0" w:line="240" w:lineRule="auto"/>
        <w:jc w:val="both"/>
        <w:rPr>
          <w:rFonts w:ascii="Comic Sans MS" w:eastAsia="Comic Sans MS" w:hAnsi="Comic Sans MS" w:cs="Comic Sans MS"/>
          <w:color w:val="000000"/>
          <w:sz w:val="24"/>
          <w:szCs w:val="24"/>
        </w:rPr>
      </w:pPr>
    </w:p>
    <w:p w14:paraId="407B2CAB" w14:textId="77777777" w:rsidR="00B84B6C" w:rsidRDefault="00B84B6C" w:rsidP="00B84B6C">
      <w:pPr>
        <w:spacing w:after="0" w:line="240" w:lineRule="auto"/>
        <w:jc w:val="both"/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  <w:u w:val="single"/>
        </w:rPr>
        <w:t>Investigación Acción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>: Es un modelo que permite que los docentes participen en un proceso de investigación conjunta que les permite resolver problemas de sus prácticas pedagógicas y proponer acciones de mejora para fortalecer el aprendizaje de los estudiantes.</w:t>
      </w:r>
    </w:p>
    <w:p w14:paraId="506D7DAD" w14:textId="77777777" w:rsidR="00B84B6C" w:rsidRDefault="00B84B6C" w:rsidP="00B84B6C">
      <w:pPr>
        <w:spacing w:after="0" w:line="240" w:lineRule="auto"/>
        <w:jc w:val="both"/>
        <w:rPr>
          <w:rFonts w:ascii="Comic Sans MS" w:eastAsia="Comic Sans MS" w:hAnsi="Comic Sans MS" w:cs="Comic Sans MS"/>
          <w:color w:val="000000"/>
          <w:sz w:val="24"/>
          <w:szCs w:val="24"/>
        </w:rPr>
      </w:pPr>
    </w:p>
    <w:p w14:paraId="137B42B9" w14:textId="4B1CC3AC" w:rsidR="00B84B6C" w:rsidRDefault="00B84B6C" w:rsidP="00B84B6C">
      <w:pPr>
        <w:spacing w:after="0" w:line="240" w:lineRule="auto"/>
        <w:jc w:val="both"/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  <w:u w:val="single"/>
        </w:rPr>
        <w:t>Club de video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: Busca desarrollar la visión profesional de los docentes a través del análisis colectivo de videos de clases. </w:t>
      </w:r>
    </w:p>
    <w:p w14:paraId="298B8D94" w14:textId="77777777" w:rsidR="00B84B6C" w:rsidRDefault="00B84B6C" w:rsidP="00B84B6C">
      <w:pPr>
        <w:spacing w:after="0" w:line="240" w:lineRule="auto"/>
        <w:jc w:val="both"/>
        <w:rPr>
          <w:rFonts w:ascii="Comic Sans MS" w:eastAsia="Comic Sans MS" w:hAnsi="Comic Sans MS" w:cs="Comic Sans MS"/>
          <w:color w:val="000000"/>
          <w:sz w:val="24"/>
          <w:szCs w:val="24"/>
        </w:rPr>
      </w:pPr>
    </w:p>
    <w:p w14:paraId="7ABB63C2" w14:textId="09219704" w:rsidR="00B84B6C" w:rsidRDefault="00B84B6C" w:rsidP="00B84B6C">
      <w:pPr>
        <w:spacing w:after="0" w:line="240" w:lineRule="auto"/>
        <w:jc w:val="both"/>
        <w:rPr>
          <w:rFonts w:ascii="Comic Sans MS" w:eastAsia="Comic Sans MS" w:hAnsi="Comic Sans MS" w:cs="Comic Sans MS"/>
          <w:b/>
          <w:sz w:val="16"/>
          <w:szCs w:val="16"/>
        </w:rPr>
      </w:pPr>
    </w:p>
    <w:p w14:paraId="68AB3D22" w14:textId="77777777" w:rsidR="004F210C" w:rsidRDefault="004F210C" w:rsidP="00B84B6C">
      <w:pPr>
        <w:spacing w:after="0" w:line="240" w:lineRule="auto"/>
        <w:jc w:val="both"/>
        <w:rPr>
          <w:rFonts w:ascii="Comic Sans MS" w:eastAsia="Comic Sans MS" w:hAnsi="Comic Sans MS" w:cs="Comic Sans MS"/>
          <w:b/>
          <w:sz w:val="16"/>
          <w:szCs w:val="16"/>
        </w:rPr>
      </w:pPr>
    </w:p>
    <w:tbl>
      <w:tblPr>
        <w:tblW w:w="8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50"/>
      </w:tblGrid>
      <w:tr w:rsidR="00B84B6C" w14:paraId="489E3D9D" w14:textId="77777777" w:rsidTr="00B84B6C">
        <w:tc>
          <w:tcPr>
            <w:tcW w:w="8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EEFE4B" w14:textId="751BB0A1" w:rsidR="00B84B6C" w:rsidRDefault="00B84B6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1.- </w:t>
            </w:r>
            <w:r>
              <w:rPr>
                <w:rFonts w:ascii="Comic Sans MS" w:hAnsi="Comic Sans MS"/>
                <w:color w:val="000000"/>
              </w:rPr>
              <w:t>De las modalidades expuestas en la presentación</w:t>
            </w:r>
            <w:r>
              <w:rPr>
                <w:rFonts w:ascii="Comic Sans MS" w:hAnsi="Comic Sans MS"/>
                <w:color w:val="000000"/>
              </w:rPr>
              <w:t>,</w:t>
            </w:r>
            <w:r>
              <w:rPr>
                <w:rFonts w:ascii="Comic Sans MS" w:hAnsi="Comic Sans MS"/>
                <w:color w:val="000000"/>
              </w:rPr>
              <w:t xml:space="preserve"> ¿Cuál consideran posibles de aplicar en </w:t>
            </w:r>
            <w:r>
              <w:rPr>
                <w:rFonts w:ascii="Comic Sans MS" w:hAnsi="Comic Sans MS"/>
                <w:color w:val="000000"/>
              </w:rPr>
              <w:t xml:space="preserve">su </w:t>
            </w:r>
            <w:r>
              <w:rPr>
                <w:rFonts w:ascii="Comic Sans MS" w:hAnsi="Comic Sans MS"/>
                <w:color w:val="000000"/>
              </w:rPr>
              <w:t>establecimiento?</w:t>
            </w:r>
            <w:r>
              <w:rPr>
                <w:color w:val="000000"/>
              </w:rPr>
              <w:t xml:space="preserve"> </w:t>
            </w:r>
          </w:p>
        </w:tc>
      </w:tr>
      <w:tr w:rsidR="00B84B6C" w14:paraId="67F7BB94" w14:textId="77777777" w:rsidTr="00B84B6C">
        <w:tc>
          <w:tcPr>
            <w:tcW w:w="8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E9CFB" w14:textId="77777777" w:rsidR="00B84B6C" w:rsidRDefault="00B84B6C">
            <w:pPr>
              <w:rPr>
                <w:color w:val="000000"/>
              </w:rPr>
            </w:pPr>
          </w:p>
          <w:p w14:paraId="3AC93E13" w14:textId="77777777" w:rsidR="00B84B6C" w:rsidRDefault="00B84B6C">
            <w:pPr>
              <w:rPr>
                <w:color w:val="000000"/>
              </w:rPr>
            </w:pPr>
          </w:p>
          <w:p w14:paraId="555F202A" w14:textId="77777777" w:rsidR="00B84B6C" w:rsidRDefault="00B84B6C"/>
          <w:p w14:paraId="09FDC83E" w14:textId="77777777" w:rsidR="00B84B6C" w:rsidRDefault="00B84B6C"/>
        </w:tc>
      </w:tr>
    </w:tbl>
    <w:p w14:paraId="25E3FA6E" w14:textId="77777777" w:rsidR="00B84B6C" w:rsidRDefault="00B84B6C" w:rsidP="00B84B6C">
      <w:pPr>
        <w:rPr>
          <w:rFonts w:ascii="Comic Sans MS" w:eastAsia="Comic Sans MS" w:hAnsi="Comic Sans MS" w:cs="Comic Sans MS"/>
          <w:sz w:val="20"/>
          <w:szCs w:val="20"/>
        </w:rPr>
      </w:pPr>
    </w:p>
    <w:tbl>
      <w:tblPr>
        <w:tblW w:w="8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50"/>
      </w:tblGrid>
      <w:tr w:rsidR="00B84B6C" w14:paraId="5F8DB3FF" w14:textId="77777777" w:rsidTr="00B84B6C">
        <w:tc>
          <w:tcPr>
            <w:tcW w:w="8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0B0363" w14:textId="77777777" w:rsidR="00B84B6C" w:rsidRDefault="00B84B6C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2.- ¿Cuáles son los fundamentos de su elección?</w:t>
            </w:r>
          </w:p>
        </w:tc>
      </w:tr>
      <w:tr w:rsidR="00B84B6C" w14:paraId="127AAABF" w14:textId="77777777" w:rsidTr="00B84B6C">
        <w:tc>
          <w:tcPr>
            <w:tcW w:w="8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F1EF8" w14:textId="77777777" w:rsidR="00B84B6C" w:rsidRDefault="00B84B6C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14:paraId="75E06B97" w14:textId="77777777" w:rsidR="00B84B6C" w:rsidRDefault="00B84B6C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14:paraId="13A9C864" w14:textId="77777777" w:rsidR="00B84B6C" w:rsidRDefault="00B84B6C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14:paraId="73796092" w14:textId="77777777" w:rsidR="00B84B6C" w:rsidRDefault="00B84B6C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</w:tr>
    </w:tbl>
    <w:p w14:paraId="06F5280C" w14:textId="0C552289" w:rsidR="00B84B6C" w:rsidRDefault="00B84B6C" w:rsidP="00B84B6C">
      <w:pPr>
        <w:rPr>
          <w:rFonts w:ascii="Comic Sans MS" w:eastAsia="Comic Sans MS" w:hAnsi="Comic Sans MS" w:cs="Comic Sans MS"/>
          <w:sz w:val="20"/>
          <w:szCs w:val="20"/>
        </w:rPr>
      </w:pPr>
    </w:p>
    <w:p w14:paraId="391AABCD" w14:textId="4F3D9CA2" w:rsidR="004F210C" w:rsidRDefault="004F210C" w:rsidP="00B84B6C">
      <w:pPr>
        <w:rPr>
          <w:rFonts w:ascii="Comic Sans MS" w:eastAsia="Comic Sans MS" w:hAnsi="Comic Sans MS" w:cs="Comic Sans MS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F210C" w14:paraId="6114AFB3" w14:textId="77777777" w:rsidTr="004F210C">
        <w:tc>
          <w:tcPr>
            <w:tcW w:w="8828" w:type="dxa"/>
          </w:tcPr>
          <w:p w14:paraId="324D7881" w14:textId="41AD81C1" w:rsidR="004F210C" w:rsidRDefault="004F210C" w:rsidP="00B84B6C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A modo de reflexión. ¿Qué se necesita para instalar prácticas sistemáticas de Trabajo Colaborativo en su establecimiento?</w:t>
            </w:r>
          </w:p>
        </w:tc>
      </w:tr>
      <w:tr w:rsidR="004F210C" w14:paraId="6BB277C4" w14:textId="77777777" w:rsidTr="004F210C">
        <w:tc>
          <w:tcPr>
            <w:tcW w:w="8828" w:type="dxa"/>
          </w:tcPr>
          <w:p w14:paraId="12BA7758" w14:textId="77777777" w:rsidR="004F210C" w:rsidRDefault="004F210C" w:rsidP="00B84B6C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14:paraId="75008FFC" w14:textId="77777777" w:rsidR="004F210C" w:rsidRDefault="004F210C" w:rsidP="00B84B6C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14:paraId="7C846198" w14:textId="77777777" w:rsidR="004F210C" w:rsidRDefault="004F210C" w:rsidP="00B84B6C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14:paraId="272A7E6D" w14:textId="77777777" w:rsidR="004F210C" w:rsidRDefault="004F210C" w:rsidP="00B84B6C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14:paraId="688538D8" w14:textId="77777777" w:rsidR="004F210C" w:rsidRDefault="004F210C" w:rsidP="00B84B6C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14:paraId="668A188E" w14:textId="77777777" w:rsidR="004F210C" w:rsidRDefault="004F210C" w:rsidP="00B84B6C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14:paraId="71A540C3" w14:textId="59E2A2BD" w:rsidR="004F210C" w:rsidRDefault="004F210C" w:rsidP="00B84B6C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</w:tr>
    </w:tbl>
    <w:p w14:paraId="09AEBF6F" w14:textId="77777777" w:rsidR="004F210C" w:rsidRDefault="004F210C" w:rsidP="00B84B6C">
      <w:pPr>
        <w:rPr>
          <w:rFonts w:ascii="Comic Sans MS" w:eastAsia="Comic Sans MS" w:hAnsi="Comic Sans MS" w:cs="Comic Sans MS"/>
          <w:sz w:val="20"/>
          <w:szCs w:val="20"/>
        </w:rPr>
      </w:pPr>
    </w:p>
    <w:sectPr w:rsidR="004F210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B6C"/>
    <w:rsid w:val="004F210C"/>
    <w:rsid w:val="00B84B6C"/>
    <w:rsid w:val="00EB0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A9B164B"/>
  <w15:chartTrackingRefBased/>
  <w15:docId w15:val="{7C36D730-9B30-4BF7-8FDF-A9CF69CA2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4B6C"/>
    <w:pPr>
      <w:spacing w:line="256" w:lineRule="auto"/>
    </w:pPr>
    <w:rPr>
      <w:rFonts w:ascii="Calibri" w:eastAsia="Calibri" w:hAnsi="Calibri" w:cs="Calibri"/>
      <w:lang w:val="es-MX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F2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8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224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Andrea Azocar Fuentes</dc:creator>
  <cp:keywords/>
  <dc:description/>
  <cp:lastModifiedBy>Carolina Andrea Azocar Fuentes</cp:lastModifiedBy>
  <cp:revision>1</cp:revision>
  <dcterms:created xsi:type="dcterms:W3CDTF">2022-05-25T01:28:00Z</dcterms:created>
  <dcterms:modified xsi:type="dcterms:W3CDTF">2022-05-25T01:35:00Z</dcterms:modified>
</cp:coreProperties>
</file>