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P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</w:p>
    <w:p w:rsidR="000F528E" w:rsidRP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r w:rsidRPr="000F528E">
        <w:rPr>
          <w:rFonts w:ascii="Arial" w:hAnsi="Arial" w:cs="Arial"/>
          <w:b/>
          <w:bCs/>
          <w:color w:val="000000" w:themeColor="text1"/>
        </w:rPr>
        <w:t>Taller de Análisis y Reflexión: "Abordaje del Trastorno del Espectro Autista en el Aula"</w:t>
      </w: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Pr="00582057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lang w:eastAsia="es-MX"/>
        </w:rPr>
      </w:pPr>
      <w:r w:rsidRPr="00582057">
        <w:rPr>
          <w:rFonts w:ascii="Arial" w:eastAsia="Times New Roman" w:hAnsi="Arial" w:cs="Arial"/>
          <w:lang w:eastAsia="es-MX"/>
        </w:rPr>
        <w:t>Autora: Gisella Retamal Arriagada</w:t>
      </w:r>
    </w:p>
    <w:p w:rsidR="000F528E" w:rsidRPr="00582057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lang w:eastAsia="es-MX"/>
        </w:rPr>
      </w:pPr>
      <w:r w:rsidRPr="00582057">
        <w:rPr>
          <w:rFonts w:ascii="Arial" w:eastAsia="Times New Roman" w:hAnsi="Arial" w:cs="Arial"/>
          <w:lang w:eastAsia="es-MX"/>
        </w:rPr>
        <w:t>Área: Formación Docente</w:t>
      </w: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:rsidR="000F528E" w:rsidRPr="000F528E" w:rsidRDefault="000F528E" w:rsidP="000F528E">
      <w:pPr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0F528E">
        <w:rPr>
          <w:rFonts w:ascii="Arial" w:hAnsi="Arial" w:cs="Arial"/>
          <w:b/>
          <w:bCs/>
        </w:rPr>
        <w:lastRenderedPageBreak/>
        <w:t>JORNADA EDUCATIVA: ESTRATEGIAS DE INCLUSIÓN PARA ESTUDIANTES CON TEA</w:t>
      </w:r>
    </w:p>
    <w:p w:rsidR="000F528E" w:rsidRPr="00582057" w:rsidRDefault="000F528E" w:rsidP="000F528E">
      <w:pPr>
        <w:spacing w:line="36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0F528E" w:rsidRPr="00582057" w:rsidTr="005365E8">
        <w:tc>
          <w:tcPr>
            <w:tcW w:w="1555" w:type="dxa"/>
          </w:tcPr>
          <w:p w:rsidR="000F528E" w:rsidRPr="00582057" w:rsidRDefault="000F528E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Título:</w:t>
            </w:r>
          </w:p>
        </w:tc>
        <w:tc>
          <w:tcPr>
            <w:tcW w:w="7273" w:type="dxa"/>
          </w:tcPr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F528E">
              <w:rPr>
                <w:rFonts w:ascii="Arial" w:hAnsi="Arial" w:cs="Arial"/>
              </w:rPr>
              <w:t>“Taller: Estrategias inclusivas basadas en la prevalencia del TEA en Chile”</w:t>
            </w:r>
          </w:p>
        </w:tc>
      </w:tr>
      <w:tr w:rsidR="000F528E" w:rsidRPr="00582057" w:rsidTr="005365E8">
        <w:tc>
          <w:tcPr>
            <w:tcW w:w="1555" w:type="dxa"/>
          </w:tcPr>
          <w:p w:rsidR="000F528E" w:rsidRPr="00582057" w:rsidRDefault="000F528E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General</w:t>
            </w:r>
          </w:p>
        </w:tc>
        <w:tc>
          <w:tcPr>
            <w:tcW w:w="7273" w:type="dxa"/>
          </w:tcPr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F528E">
              <w:rPr>
                <w:rFonts w:ascii="Arial" w:hAnsi="Arial" w:cs="Arial"/>
              </w:rPr>
              <w:t>Capacitar a los docentes para comprender la prevalencia del TEA en Chile (1,95 %) y aplicar estrategias pedagógicas inclusivas que mejoren la detección temprana y el aprendizaje de estudiantes con TEA en contextos escolares.</w:t>
            </w:r>
          </w:p>
        </w:tc>
      </w:tr>
      <w:tr w:rsidR="000F528E" w:rsidRPr="00582057" w:rsidTr="005365E8">
        <w:tc>
          <w:tcPr>
            <w:tcW w:w="1555" w:type="dxa"/>
          </w:tcPr>
          <w:p w:rsidR="000F528E" w:rsidRPr="00582057" w:rsidRDefault="000F528E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Objetivos Específicos</w:t>
            </w:r>
          </w:p>
        </w:tc>
        <w:tc>
          <w:tcPr>
            <w:tcW w:w="7273" w:type="dxa"/>
          </w:tcPr>
          <w:p w:rsidR="000F528E" w:rsidRPr="000F528E" w:rsidRDefault="000F528E" w:rsidP="000F528E">
            <w:pPr>
              <w:pStyle w:val="Prrafodelista"/>
              <w:numPr>
                <w:ilvl w:val="0"/>
                <w:numId w:val="5"/>
              </w:numPr>
              <w:tabs>
                <w:tab w:val="center" w:pos="35"/>
                <w:tab w:val="center" w:pos="177"/>
              </w:tabs>
              <w:spacing w:line="360" w:lineRule="auto"/>
              <w:ind w:left="35" w:hanging="35"/>
              <w:jc w:val="both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Comprender rápidamente los hallazgos principales del estudio de Yáñez et al. (2021), incluyendo la cifra del 1,95 % de prevalencia y la metodología usada (M</w:t>
            </w:r>
            <w:r w:rsidRPr="000F528E">
              <w:rPr>
                <w:rFonts w:ascii="Arial" w:hAnsi="Arial" w:cs="Arial"/>
              </w:rPr>
              <w:noBreakHyphen/>
              <w:t>CHAT + ADOS</w:t>
            </w:r>
            <w:r w:rsidRPr="000F528E">
              <w:rPr>
                <w:rFonts w:ascii="Arial" w:hAnsi="Arial" w:cs="Arial"/>
              </w:rPr>
              <w:noBreakHyphen/>
              <w:t>2).</w:t>
            </w:r>
          </w:p>
          <w:p w:rsidR="000F528E" w:rsidRPr="000F528E" w:rsidRDefault="000F528E" w:rsidP="000F528E">
            <w:pPr>
              <w:pStyle w:val="Prrafodelista"/>
              <w:numPr>
                <w:ilvl w:val="0"/>
                <w:numId w:val="5"/>
              </w:numPr>
              <w:tabs>
                <w:tab w:val="center" w:pos="35"/>
                <w:tab w:val="center" w:pos="177"/>
              </w:tabs>
              <w:spacing w:line="360" w:lineRule="auto"/>
              <w:ind w:left="35" w:hanging="35"/>
              <w:jc w:val="both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Reflexionar sobre experiencias concretas en el aula relacionadas con estudiantes con TEA, promoviendo la sensibilización desde la práctica docente.</w:t>
            </w:r>
          </w:p>
          <w:p w:rsidR="000F528E" w:rsidRPr="000F528E" w:rsidRDefault="000F528E" w:rsidP="000F528E">
            <w:pPr>
              <w:pStyle w:val="Prrafodelista"/>
              <w:numPr>
                <w:ilvl w:val="0"/>
                <w:numId w:val="5"/>
              </w:numPr>
              <w:tabs>
                <w:tab w:val="center" w:pos="35"/>
                <w:tab w:val="center" w:pos="177"/>
              </w:tabs>
              <w:spacing w:line="360" w:lineRule="auto"/>
              <w:ind w:left="35" w:hanging="35"/>
              <w:jc w:val="both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Presentar 2 o 3 adaptaciones pedagógicas inmediatas, fáciles de aplicar, basadas en evidencia e incluidas en el marco del estudio.</w:t>
            </w:r>
          </w:p>
          <w:p w:rsidR="000F528E" w:rsidRPr="000F528E" w:rsidRDefault="000F528E" w:rsidP="000F528E">
            <w:pPr>
              <w:pStyle w:val="Prrafodelista"/>
              <w:numPr>
                <w:ilvl w:val="0"/>
                <w:numId w:val="5"/>
              </w:numPr>
              <w:tabs>
                <w:tab w:val="center" w:pos="35"/>
                <w:tab w:val="center" w:pos="177"/>
              </w:tabs>
              <w:spacing w:line="360" w:lineRule="auto"/>
              <w:ind w:left="35" w:hanging="35"/>
              <w:jc w:val="both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Promover compromisos breves, permitiendo a los docentes comprometerse a aplicar al menos una estrategia inclusiva en su sala en la próxima semana.</w:t>
            </w:r>
          </w:p>
        </w:tc>
      </w:tr>
      <w:tr w:rsidR="000F528E" w:rsidRPr="00582057" w:rsidTr="005365E8">
        <w:tc>
          <w:tcPr>
            <w:tcW w:w="1555" w:type="dxa"/>
          </w:tcPr>
          <w:p w:rsidR="000F528E" w:rsidRPr="00582057" w:rsidRDefault="000F528E" w:rsidP="005365E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82057">
              <w:rPr>
                <w:rFonts w:ascii="Arial" w:eastAsia="Times New Roman" w:hAnsi="Arial" w:cs="Arial"/>
                <w:b/>
                <w:bCs/>
                <w:lang w:eastAsia="es-MX"/>
              </w:rPr>
              <w:t>Duración:</w:t>
            </w:r>
          </w:p>
        </w:tc>
        <w:tc>
          <w:tcPr>
            <w:tcW w:w="7273" w:type="dxa"/>
          </w:tcPr>
          <w:p w:rsidR="000F528E" w:rsidRPr="00582057" w:rsidRDefault="000F528E" w:rsidP="005365E8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82057">
              <w:rPr>
                <w:rFonts w:ascii="Arial" w:eastAsia="Times New Roman" w:hAnsi="Arial" w:cs="Arial"/>
                <w:lang w:eastAsia="es-MX"/>
              </w:rPr>
              <w:t>1 hora aproximadamente</w:t>
            </w:r>
          </w:p>
        </w:tc>
      </w:tr>
    </w:tbl>
    <w:p w:rsidR="000F528E" w:rsidRPr="00582057" w:rsidRDefault="000F528E" w:rsidP="000F528E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0F528E" w:rsidRPr="00582057" w:rsidRDefault="000F528E" w:rsidP="000F528E">
      <w:pPr>
        <w:spacing w:line="36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582057">
        <w:rPr>
          <w:rFonts w:ascii="Arial" w:eastAsia="Times New Roman" w:hAnsi="Arial" w:cs="Arial"/>
          <w:b/>
          <w:bCs/>
          <w:lang w:eastAsia="es-MX"/>
        </w:rPr>
        <w:t>AGENDA Y DESARROLLO DE LA ACTIVIDAD PROPUESTA</w:t>
      </w:r>
    </w:p>
    <w:p w:rsidR="000F528E" w:rsidRPr="00582057" w:rsidRDefault="000F528E" w:rsidP="000F528E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528E" w:rsidRPr="000F528E" w:rsidTr="000F528E">
        <w:tc>
          <w:tcPr>
            <w:tcW w:w="8828" w:type="dxa"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 xml:space="preserve"> Bienvenida y contexto (10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Presentación breve: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saluda, presenta el objetivo del taller y conecta con el artículo de Yáñez et al. (2021): prevalencia del 1,95 % en niños de 18</w:t>
            </w:r>
            <w:r w:rsidRPr="000F528E">
              <w:rPr>
                <w:rFonts w:ascii="Arial" w:hAnsi="Arial" w:cs="Arial"/>
                <w:color w:val="000000" w:themeColor="text1"/>
              </w:rPr>
              <w:noBreakHyphen/>
              <w:t>30 meses en Santiago, detectado mediante M</w:t>
            </w:r>
            <w:r w:rsidRPr="000F528E">
              <w:rPr>
                <w:rFonts w:ascii="Arial" w:hAnsi="Arial" w:cs="Arial"/>
                <w:color w:val="000000" w:themeColor="text1"/>
              </w:rPr>
              <w:noBreakHyphen/>
              <w:t>CHAT y ADOS</w:t>
            </w:r>
            <w:r w:rsidRPr="000F528E">
              <w:rPr>
                <w:rFonts w:ascii="Arial" w:hAnsi="Arial" w:cs="Arial"/>
                <w:color w:val="000000" w:themeColor="text1"/>
              </w:rPr>
              <w:noBreakHyphen/>
              <w:t>2.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Relevancia para el aula: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destaca cómo esta cifra refleja la realidad local y subraya la importancia de la detección temprana en el entorno escolar.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F528E" w:rsidRPr="000F528E" w:rsidTr="000F528E">
        <w:tc>
          <w:tcPr>
            <w:tcW w:w="8828" w:type="dxa"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Puesta en común: vivencias docentes (10 min)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Forma parejas o tríos.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Guiar la conversación con preguntas como: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¿Has notado algunos rasgos de TEA en tus alumnos?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¿Qué herramientas usas o te gustaría incorporar?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Comparte un par de ideas con todo el grupo para enriquecer este intercambio desde la práctica.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Demostración de estrategias inclusivas (30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A) Ambiente estructurado y rutinas visuales (12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 xml:space="preserve">Explica la importancia de la estructura para reducir la ansiedad y mejorar la predictibilidad </w:t>
            </w:r>
            <w:hyperlink r:id="rId5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zeneducate.com+1en.wik</w:t>
              </w:r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i</w:t>
              </w:r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pedia.org+1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0F528E">
              <w:rPr>
                <w:rFonts w:ascii="Arial" w:hAnsi="Arial" w:cs="Arial"/>
                <w:i/>
                <w:iCs/>
                <w:color w:val="000000" w:themeColor="text1"/>
              </w:rPr>
              <w:t>Ejemplos visuales: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Cree horarios visuales con imágenes para secuencias diarias.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Implementa la técnica “primero</w:t>
            </w:r>
            <w:r w:rsidRPr="000F528E">
              <w:rPr>
                <w:rFonts w:ascii="Arial" w:hAnsi="Arial" w:cs="Arial"/>
                <w:color w:val="000000" w:themeColor="text1"/>
              </w:rPr>
              <w:noBreakHyphen/>
              <w:t>después</w:t>
            </w:r>
            <w:r w:rsidRPr="000F528E">
              <w:rPr>
                <w:rFonts w:ascii="Arial" w:hAnsi="Arial" w:cs="Arial"/>
                <w:color w:val="000000" w:themeColor="text1"/>
              </w:rPr>
              <w:noBreakHyphen/>
              <w:t>luego” para transiciones suaves 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 xml:space="preserve">Actividad </w:t>
            </w:r>
            <w:proofErr w:type="spellStart"/>
            <w:r w:rsidRPr="000F528E">
              <w:rPr>
                <w:rFonts w:ascii="Arial" w:hAnsi="Arial" w:cs="Arial"/>
                <w:color w:val="000000" w:themeColor="text1"/>
              </w:rPr>
              <w:t>express</w:t>
            </w:r>
            <w:proofErr w:type="spellEnd"/>
            <w:r w:rsidRPr="000F528E">
              <w:rPr>
                <w:rFonts w:ascii="Arial" w:hAnsi="Arial" w:cs="Arial"/>
                <w:color w:val="000000" w:themeColor="text1"/>
              </w:rPr>
              <w:t>: diseña un mini horario en papel para una rutina escolar.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B) Apoyos visuales y comunicación clara (9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 xml:space="preserve">Explica los beneficios de apoyos visuales para simplificar instrucciones y aclarar conceptos </w:t>
            </w:r>
            <w:hyperlink r:id="rId6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verywellhealth.com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Muestra ejemplos (pictogramas, colores, texto breve).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Ejercicio breve: transforma una instrucción verbal compleja (“lean el texto, analicen y escriban resumen”) en 2–3 pasos visuales.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C) Apoyo conductual y socio-sensorial (9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 xml:space="preserve">Explica el enfoque de refuerzo positivo y manejo sensorial en TEA </w:t>
            </w:r>
            <w:hyperlink r:id="rId7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verywellfamily.com+3affinityabc.com+3verywellhealth.com+3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Ejemplos: espacio de calma con cojines, reforzamiento de conductas positivas, herramientas sensoriales (audífonos, pelotas anti-estrés) 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Dinámica rápida: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cada docente elige una herramienta sensorial o estrategia que podría implementar en su aula.</w:t>
            </w:r>
          </w:p>
        </w:tc>
      </w:tr>
      <w:tr w:rsidR="000F528E" w:rsidRPr="000F528E" w:rsidTr="000F528E">
        <w:tc>
          <w:tcPr>
            <w:tcW w:w="8828" w:type="dxa"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Compromiso y cierre (10 min)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Cada docente escribe una acción concreta que aplicará en la próxima semana (ej. implementar horario visual, crear espacio de calma, usar pictogramas).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>Comparte voluntariamente uno o dos compromisos.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Cierre con un resumen final: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conectar evidencia del artículo con las estrategias vistas y la práctica docente diaria.</w:t>
            </w:r>
          </w:p>
        </w:tc>
      </w:tr>
      <w:tr w:rsidR="000F528E" w:rsidRPr="000F528E" w:rsidTr="000F528E">
        <w:tc>
          <w:tcPr>
            <w:tcW w:w="8828" w:type="dxa"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Recursos: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Apoyos visuales educativos</w:t>
            </w:r>
          </w:p>
          <w:p w:rsid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Horarios visuales y pictogramas: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Facilitadores de comprensión y transición entre actividades. Plantillas de “Primero–Después” y tableros visuales ayudan a prever el día a estudiantes con TEA 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8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autismspeaks.org+13verywellhealth.com+13noodlenook.net+13</w:t>
              </w:r>
            </w:hyperlink>
            <w:r w:rsidRPr="000F528E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color w:val="000000" w:themeColor="text1"/>
              </w:rPr>
              <w:t xml:space="preserve">Tableros de tokens (token </w:t>
            </w:r>
            <w:proofErr w:type="spellStart"/>
            <w:r w:rsidRPr="000F528E">
              <w:rPr>
                <w:rFonts w:ascii="Arial" w:hAnsi="Arial" w:cs="Arial"/>
                <w:color w:val="000000" w:themeColor="text1"/>
              </w:rPr>
              <w:t>boards</w:t>
            </w:r>
            <w:proofErr w:type="spellEnd"/>
            <w:r w:rsidRPr="000F528E">
              <w:rPr>
                <w:rFonts w:ascii="Arial" w:hAnsi="Arial" w:cs="Arial"/>
                <w:color w:val="000000" w:themeColor="text1"/>
              </w:rPr>
              <w:t xml:space="preserve">): Recompensan comportamientos positivos de forma clara y estructurada, promoviendo la motivación y la independencia </w:t>
            </w:r>
            <w:hyperlink r:id="rId9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noodlenook.net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Herramientas sensoriales y de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autoregulación</w:t>
            </w:r>
            <w:proofErr w:type="spellEnd"/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Fidget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toys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discretos (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fidget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spinners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, gel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toys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, “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magic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worms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”):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Ayudan a focalizar la atención sin interrumpir la clase </w:t>
            </w:r>
            <w:hyperlink r:id="rId10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thewholisticot.com+4corp.publicschoolworks.com+4reddit.com+4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Bandas elásticas o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pad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de silla: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Permiten movimiento sensorial en red mientras se mantiene la postura, favoreciendo la concentración </w:t>
            </w:r>
            <w:hyperlink r:id="rId11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autismspectrumnews.org+2corp.publicschoolworks.com+2milestoneeducation.co.uk+2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Cojines o mantas con peso (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weighted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lap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pads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):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Aportan presión profunda para calmar y estabilizar nerviosismo o ansiedad </w:t>
            </w:r>
            <w:hyperlink r:id="rId12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verywellhealth.com+5corp.publicschoolworks.com+5milestoneeducation.co.uk+5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Espacios de calma y regulación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Calm</w:t>
            </w: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noBreakHyphen/>
              <w:t>down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corner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Rincón con luces tenues, cojines, recursos visuales y auditivos (videos de respiración), donde el alumno puede retirarse cuando lo necesite </w:t>
            </w:r>
            <w:hyperlink r:id="rId13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joincoralcare.com+1thewholisticot.com+1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lastRenderedPageBreak/>
              <w:t>Auriculares de reducción de ruido: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Ideales para estudiantes sensibles al sonido (p. ej. timbres, gimnasios), permitiendo mantener la calma en espacios ruidosos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Instrumentos de regulación vestibular y propioceptiva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Pelotas de yoga y bandas elásticas para pies: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Dan soporte sensorial durante actividades estáticas, reducen ansiedad y mejoran la atención </w:t>
            </w:r>
            <w:hyperlink r:id="rId14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milestoneeducation.co.uk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Pelotas de fisioterapia o “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scooters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”: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Utilizadas en salas de sensorialidad (</w:t>
            </w:r>
            <w:proofErr w:type="spellStart"/>
            <w:r w:rsidRPr="000F528E">
              <w:rPr>
                <w:rFonts w:ascii="Arial" w:hAnsi="Arial" w:cs="Arial"/>
                <w:color w:val="000000" w:themeColor="text1"/>
              </w:rPr>
              <w:t>sensory</w:t>
            </w:r>
            <w:proofErr w:type="spellEnd"/>
            <w:r w:rsidRPr="000F528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color w:val="000000" w:themeColor="text1"/>
              </w:rPr>
              <w:t>rooms</w:t>
            </w:r>
            <w:proofErr w:type="spellEnd"/>
            <w:r w:rsidRPr="000F528E">
              <w:rPr>
                <w:rFonts w:ascii="Arial" w:hAnsi="Arial" w:cs="Arial"/>
                <w:color w:val="000000" w:themeColor="text1"/>
              </w:rPr>
              <w:t xml:space="preserve">), permiten actividades vestibulares como balanceo y movimiento </w:t>
            </w:r>
            <w:hyperlink r:id="rId15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theautismhelper.com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Apoyos de comunicación funcional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PECS y sistemas de comunicación alterna aumentativa: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Tableros con imágenes o símbolos que permiten a los estudiantes expresarse sin lenguaje verbal </w:t>
            </w:r>
            <w:hyperlink r:id="rId16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verywellhealth.com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Historias sociales y modelado en video: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Preparan a los estudiantes para nuevas situaciones o rutinas, reduciendo la ansiedad 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Sensory</w:t>
            </w:r>
            <w:proofErr w:type="spellEnd"/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>rooms</w:t>
            </w:r>
            <w:proofErr w:type="spellEnd"/>
            <w:r w:rsidRPr="000F528E">
              <w:rPr>
                <w:rFonts w:ascii="Arial" w:hAnsi="Arial" w:cs="Arial"/>
                <w:b/>
                <w:bCs/>
                <w:color w:val="000000" w:themeColor="text1"/>
              </w:rPr>
              <w:t xml:space="preserve"> y dispositivos de presión profunda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Habitaciones sensoriales (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Snoezelen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):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Espacios multi-sensoriales con estímulos controlados (luces, colores, sonidos, texturas) para favorecer la regulación emocional </w:t>
            </w:r>
            <w:hyperlink r:id="rId17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en.wikipe</w:t>
              </w:r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d</w:t>
              </w:r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ia.org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“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Hug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machine” o </w:t>
            </w:r>
            <w:proofErr w:type="spellStart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squeeze</w:t>
            </w:r>
            <w:proofErr w:type="spellEnd"/>
            <w:r w:rsidRPr="000F528E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machine:</w:t>
            </w:r>
            <w:r w:rsidRPr="000F528E">
              <w:rPr>
                <w:rFonts w:ascii="Arial" w:hAnsi="Arial" w:cs="Arial"/>
                <w:color w:val="000000" w:themeColor="text1"/>
              </w:rPr>
              <w:t xml:space="preserve"> Ofrece presión profunda para ayudar a regular la ansiedad en estudiantes con alta sensibilidad sensorial </w:t>
            </w:r>
            <w:hyperlink r:id="rId18" w:tgtFrame="_blank" w:history="1">
              <w:r w:rsidRPr="000F528E">
                <w:rPr>
                  <w:rStyle w:val="Hipervnculo"/>
                  <w:rFonts w:ascii="Arial" w:hAnsi="Arial" w:cs="Arial"/>
                  <w:color w:val="000000" w:themeColor="text1"/>
                </w:rPr>
                <w:t>en.wikipedia.org+1milestoneeducation.co.uk+1</w:t>
              </w:r>
            </w:hyperlink>
            <w:r w:rsidRPr="000F528E">
              <w:rPr>
                <w:rFonts w:ascii="Arial" w:hAnsi="Arial" w:cs="Arial"/>
                <w:color w:val="000000" w:themeColor="text1"/>
              </w:rPr>
              <w:t>.</w:t>
            </w:r>
          </w:p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F528E" w:rsidRPr="00582057" w:rsidRDefault="000F528E" w:rsidP="000F528E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0F528E" w:rsidRPr="00582057" w:rsidRDefault="000F528E" w:rsidP="000F528E">
      <w:pPr>
        <w:rPr>
          <w:rFonts w:ascii="Times New Roman" w:eastAsia="Times New Roman" w:hAnsi="Times New Roman" w:cs="Times New Roman"/>
          <w:lang w:eastAsia="es-MX"/>
        </w:rPr>
      </w:pPr>
    </w:p>
    <w:p w:rsidR="000F528E" w:rsidRDefault="000F528E" w:rsidP="000F528E">
      <w:pPr>
        <w:rPr>
          <w:b/>
          <w:bCs/>
        </w:rPr>
      </w:pPr>
    </w:p>
    <w:p w:rsidR="000F528E" w:rsidRDefault="000F528E" w:rsidP="000F528E">
      <w:pPr>
        <w:rPr>
          <w:b/>
          <w:bCs/>
        </w:rPr>
      </w:pPr>
    </w:p>
    <w:p w:rsidR="000F528E" w:rsidRDefault="000F528E" w:rsidP="000F528E">
      <w:pPr>
        <w:pStyle w:val="Ttulo3"/>
      </w:pPr>
    </w:p>
    <w:p w:rsidR="000F528E" w:rsidRPr="000F528E" w:rsidRDefault="000F528E" w:rsidP="000F528E">
      <w:pPr>
        <w:pStyle w:val="Ttulo3"/>
        <w:rPr>
          <w:rFonts w:ascii="Arial" w:hAnsi="Arial" w:cs="Arial"/>
          <w:sz w:val="24"/>
          <w:szCs w:val="24"/>
        </w:rPr>
      </w:pPr>
      <w:r w:rsidRPr="000F528E">
        <w:rPr>
          <w:rFonts w:ascii="Arial" w:hAnsi="Arial" w:cs="Arial"/>
          <w:sz w:val="24"/>
          <w:szCs w:val="24"/>
        </w:rPr>
        <w:lastRenderedPageBreak/>
        <w:t>Cómo incorporar estos recursos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014"/>
        <w:gridCol w:w="2472"/>
        <w:gridCol w:w="4352"/>
      </w:tblGrid>
      <w:tr w:rsidR="000F528E" w:rsidRPr="000F528E" w:rsidTr="000F5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Recurso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Propósito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>Implementación práctica</w:t>
            </w:r>
          </w:p>
        </w:tc>
      </w:tr>
      <w:tr w:rsidR="000F528E" w:rsidRPr="000F528E" w:rsidTr="000F5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</w:rPr>
            </w:pPr>
            <w:r w:rsidRPr="000F528E">
              <w:rPr>
                <w:rFonts w:ascii="Arial" w:hAnsi="Arial" w:cs="Arial"/>
              </w:rPr>
              <w:t xml:space="preserve">Token </w:t>
            </w:r>
            <w:proofErr w:type="spellStart"/>
            <w:r w:rsidRPr="000F528E">
              <w:rPr>
                <w:rFonts w:ascii="Arial" w:hAnsi="Arial" w:cs="Arial"/>
              </w:rPr>
              <w:t>board</w:t>
            </w:r>
            <w:proofErr w:type="spellEnd"/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Refuerzo positivo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Diseño simple con imágenes, uso inmediato</w:t>
            </w:r>
          </w:p>
        </w:tc>
      </w:tr>
      <w:tr w:rsidR="000F528E" w:rsidRPr="000F528E" w:rsidTr="000F5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Auriculares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Reducción auditiva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Disponibles al entrar al aula o en pausa</w:t>
            </w:r>
          </w:p>
        </w:tc>
      </w:tr>
      <w:tr w:rsidR="000F528E" w:rsidRPr="000F528E" w:rsidTr="000F5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F528E">
              <w:rPr>
                <w:rFonts w:ascii="Arial" w:hAnsi="Arial" w:cs="Arial"/>
                <w:b/>
                <w:bCs/>
              </w:rPr>
              <w:t>Fidgets</w:t>
            </w:r>
            <w:proofErr w:type="spellEnd"/>
            <w:r w:rsidRPr="000F528E">
              <w:rPr>
                <w:rFonts w:ascii="Arial" w:hAnsi="Arial" w:cs="Arial"/>
                <w:b/>
                <w:bCs/>
              </w:rPr>
              <w:t xml:space="preserve"> discretos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Manejo del estrés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Cada estudiante tiene uno individual</w:t>
            </w:r>
          </w:p>
        </w:tc>
      </w:tr>
      <w:tr w:rsidR="000F528E" w:rsidRPr="000F528E" w:rsidTr="000F5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Zona calma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Regulación emocional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Esquina con cojín y libros de respiración</w:t>
            </w:r>
          </w:p>
        </w:tc>
      </w:tr>
      <w:tr w:rsidR="000F528E" w:rsidRPr="000F528E" w:rsidTr="000F5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528E">
              <w:rPr>
                <w:rFonts w:ascii="Arial" w:hAnsi="Arial" w:cs="Arial"/>
                <w:b/>
                <w:bCs/>
              </w:rPr>
              <w:t>Rutinas visuales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Organización del día</w:t>
            </w:r>
          </w:p>
        </w:tc>
        <w:tc>
          <w:tcPr>
            <w:tcW w:w="0" w:type="auto"/>
            <w:hideMark/>
          </w:tcPr>
          <w:p w:rsidR="000F528E" w:rsidRPr="000F528E" w:rsidRDefault="000F528E" w:rsidP="000F52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F528E">
              <w:rPr>
                <w:rStyle w:val="relative"/>
                <w:rFonts w:ascii="Arial" w:hAnsi="Arial" w:cs="Arial"/>
                <w:b/>
                <w:bCs/>
              </w:rPr>
              <w:t>Tablero con pictogramas editables</w:t>
            </w:r>
          </w:p>
        </w:tc>
      </w:tr>
    </w:tbl>
    <w:p w:rsidR="000F528E" w:rsidRDefault="000F528E" w:rsidP="000F528E"/>
    <w:p w:rsidR="000F528E" w:rsidRDefault="000F528E" w:rsidP="000F528E">
      <w:pPr>
        <w:pStyle w:val="Ttulo2"/>
        <w:rPr>
          <w:rFonts w:ascii="Apple Color Emoji" w:hAnsi="Apple Color Emoji" w:cs="Apple Color Emoji"/>
        </w:rPr>
      </w:pPr>
    </w:p>
    <w:p w:rsidR="000F528E" w:rsidRDefault="000F528E" w:rsidP="000F528E">
      <w:pPr>
        <w:pStyle w:val="Ttulo2"/>
        <w:rPr>
          <w:rFonts w:ascii="Apple Color Emoji" w:hAnsi="Apple Color Emoji" w:cs="Apple Color Emoji"/>
        </w:rPr>
      </w:pPr>
    </w:p>
    <w:p w:rsidR="000F528E" w:rsidRPr="000F528E" w:rsidRDefault="000F528E" w:rsidP="000F528E">
      <w:pPr>
        <w:pStyle w:val="Ttulo2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528E">
        <w:rPr>
          <w:rFonts w:ascii="Arial" w:hAnsi="Arial" w:cs="Arial"/>
          <w:b/>
          <w:bCs/>
          <w:color w:val="000000" w:themeColor="text1"/>
          <w:sz w:val="24"/>
          <w:szCs w:val="24"/>
        </w:rPr>
        <w:t>Fundamentación</w:t>
      </w:r>
    </w:p>
    <w:p w:rsidR="000F528E" w:rsidRPr="000F528E" w:rsidRDefault="000F528E" w:rsidP="000F528E">
      <w:pPr>
        <w:pStyle w:val="NormalWeb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line="360" w:lineRule="auto"/>
        <w:ind w:left="0" w:right="-93" w:firstLine="142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 xml:space="preserve">Las </w:t>
      </w:r>
      <w:r w:rsidRPr="000F528E">
        <w:rPr>
          <w:rStyle w:val="Textoennegrita"/>
          <w:rFonts w:ascii="Arial" w:hAnsi="Arial" w:cs="Arial"/>
          <w:color w:val="000000" w:themeColor="text1"/>
        </w:rPr>
        <w:t>herramientas visuales</w:t>
      </w:r>
      <w:r w:rsidRPr="000F528E">
        <w:rPr>
          <w:rStyle w:val="relative"/>
          <w:rFonts w:ascii="Arial" w:hAnsi="Arial" w:cs="Arial"/>
          <w:color w:val="000000" w:themeColor="text1"/>
        </w:rPr>
        <w:t xml:space="preserve"> favorecen el pensamiento concreto en niños con TEA y mejoran la autonomía</w:t>
      </w:r>
      <w:r>
        <w:rPr>
          <w:rStyle w:val="relative"/>
          <w:rFonts w:ascii="Arial" w:hAnsi="Arial" w:cs="Arial"/>
          <w:color w:val="000000" w:themeColor="text1"/>
        </w:rPr>
        <w:t>.</w:t>
      </w:r>
    </w:p>
    <w:p w:rsidR="000F528E" w:rsidRPr="000F528E" w:rsidRDefault="000F528E" w:rsidP="000F528E">
      <w:pPr>
        <w:pStyle w:val="NormalWeb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line="360" w:lineRule="auto"/>
        <w:ind w:left="0" w:right="-93" w:firstLine="142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 xml:space="preserve">Recursos sensoriales sencillos favorecen la </w:t>
      </w:r>
      <w:r w:rsidRPr="000F528E">
        <w:rPr>
          <w:rStyle w:val="Textoennegrita"/>
          <w:rFonts w:ascii="Arial" w:hAnsi="Arial" w:cs="Arial"/>
          <w:color w:val="000000" w:themeColor="text1"/>
        </w:rPr>
        <w:t>autorregulación</w:t>
      </w:r>
      <w:r w:rsidRPr="000F528E">
        <w:rPr>
          <w:rStyle w:val="relative"/>
          <w:rFonts w:ascii="Arial" w:hAnsi="Arial" w:cs="Arial"/>
          <w:color w:val="000000" w:themeColor="text1"/>
        </w:rPr>
        <w:t>, reducen la ansiedad y mejoran el enfoque en el aula</w:t>
      </w:r>
      <w:r w:rsidRPr="000F528E">
        <w:rPr>
          <w:rFonts w:ascii="Arial" w:hAnsi="Arial" w:cs="Arial"/>
          <w:color w:val="000000" w:themeColor="text1"/>
        </w:rPr>
        <w:t xml:space="preserve"> .</w:t>
      </w:r>
    </w:p>
    <w:p w:rsidR="000F528E" w:rsidRPr="000F528E" w:rsidRDefault="000F528E" w:rsidP="000F528E">
      <w:pPr>
        <w:pStyle w:val="NormalWeb"/>
        <w:numPr>
          <w:ilvl w:val="0"/>
          <w:numId w:val="18"/>
        </w:numPr>
        <w:tabs>
          <w:tab w:val="clear" w:pos="720"/>
          <w:tab w:val="num" w:pos="284"/>
        </w:tabs>
        <w:spacing w:before="0" w:beforeAutospacing="0" w:line="360" w:lineRule="auto"/>
        <w:ind w:left="0" w:right="-93" w:firstLine="142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>Espacios y herramientas calmantes permiten un aprendizaje más efectivo y fomentan el bienestar emocional</w:t>
      </w:r>
      <w:r w:rsidRPr="000F528E">
        <w:rPr>
          <w:rFonts w:ascii="Arial" w:hAnsi="Arial" w:cs="Arial"/>
          <w:color w:val="000000" w:themeColor="text1"/>
        </w:rPr>
        <w:t xml:space="preserve"> .</w:t>
      </w: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F528E" w:rsidRPr="000F528E" w:rsidRDefault="000F528E" w:rsidP="000F528E">
      <w:pPr>
        <w:pStyle w:val="Ttulo1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528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Conclusión</w:t>
      </w:r>
    </w:p>
    <w:p w:rsidR="000F528E" w:rsidRPr="000F528E" w:rsidRDefault="000F528E" w:rsidP="000F528E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>El estudio de Yáñez et al. (2021), que halló una prevalencia del 1,95 % de TEA en niños de 18–30 meses en comunas de Santiago, pone de manifiesto la urgencia de implementar en nuestras escuelas estrategias educativas efectivas e inclusivas. La evidencia internacional respalda el uso de herramientas visuales, sensoriales y ambientales que facilitan la autonomía, reducen la ansiedad y promueven el aprendizaje en estudiantes con TEA.</w:t>
      </w:r>
    </w:p>
    <w:p w:rsidR="000F528E" w:rsidRPr="000F528E" w:rsidRDefault="000F528E" w:rsidP="000F528E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Textoennegrita"/>
          <w:rFonts w:ascii="Arial" w:hAnsi="Arial" w:cs="Arial"/>
          <w:color w:val="000000" w:themeColor="text1"/>
        </w:rPr>
        <w:t>Herramientas visuales</w:t>
      </w:r>
      <w:r w:rsidRPr="000F528E">
        <w:rPr>
          <w:rStyle w:val="relative"/>
          <w:rFonts w:ascii="Arial" w:hAnsi="Arial" w:cs="Arial"/>
          <w:color w:val="000000" w:themeColor="text1"/>
        </w:rPr>
        <w:t>, como los horarios y pictogramas, favorecen la comprensión de rutinas y apoyan la independencia. Estudios muestran que mejoran el comportamiento “</w:t>
      </w:r>
      <w:proofErr w:type="spellStart"/>
      <w:r w:rsidRPr="000F528E">
        <w:rPr>
          <w:rStyle w:val="relative"/>
          <w:rFonts w:ascii="Arial" w:hAnsi="Arial" w:cs="Arial"/>
          <w:color w:val="000000" w:themeColor="text1"/>
        </w:rPr>
        <w:t>on-task</w:t>
      </w:r>
      <w:proofErr w:type="spellEnd"/>
      <w:r w:rsidRPr="000F528E">
        <w:rPr>
          <w:rStyle w:val="relative"/>
          <w:rFonts w:ascii="Arial" w:hAnsi="Arial" w:cs="Arial"/>
          <w:color w:val="000000" w:themeColor="text1"/>
        </w:rPr>
        <w:t>”, reducen la dependencia de ayudas verbales y disminuyen la ansiedad durante las transiciones</w:t>
      </w:r>
      <w:r w:rsidRPr="000F528E">
        <w:rPr>
          <w:rFonts w:ascii="Arial" w:hAnsi="Arial" w:cs="Arial"/>
          <w:color w:val="000000" w:themeColor="text1"/>
        </w:rPr>
        <w:t xml:space="preserve"> </w:t>
      </w:r>
      <w:hyperlink r:id="rId19" w:tgtFrame="_blank" w:history="1"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journals.sagepub.com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+4</w:t>
        </w:r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nasenjournals.onlinelibrary.wiley.com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+4</w:t>
        </w:r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myteamaba.com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+4</w:t>
        </w:r>
      </w:hyperlink>
      <w:r w:rsidRPr="000F528E">
        <w:rPr>
          <w:rFonts w:ascii="Arial" w:hAnsi="Arial" w:cs="Arial"/>
          <w:color w:val="000000" w:themeColor="text1"/>
        </w:rPr>
        <w:t>.</w:t>
      </w:r>
    </w:p>
    <w:p w:rsidR="000F528E" w:rsidRPr="000F528E" w:rsidRDefault="000F528E" w:rsidP="000F528E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Textoennegrita"/>
          <w:rFonts w:ascii="Arial" w:hAnsi="Arial" w:cs="Arial"/>
          <w:color w:val="000000" w:themeColor="text1"/>
        </w:rPr>
        <w:t>Recursos sensoriales</w:t>
      </w:r>
      <w:r w:rsidRPr="000F528E">
        <w:rPr>
          <w:rStyle w:val="relative"/>
          <w:rFonts w:ascii="Arial" w:hAnsi="Arial" w:cs="Arial"/>
          <w:color w:val="000000" w:themeColor="text1"/>
        </w:rPr>
        <w:t xml:space="preserve">, incluyendo juguetes manipulativos, auriculares </w:t>
      </w:r>
      <w:proofErr w:type="spellStart"/>
      <w:r w:rsidRPr="000F528E">
        <w:rPr>
          <w:rStyle w:val="relative"/>
          <w:rFonts w:ascii="Arial" w:hAnsi="Arial" w:cs="Arial"/>
          <w:color w:val="000000" w:themeColor="text1"/>
        </w:rPr>
        <w:t>antiruido</w:t>
      </w:r>
      <w:proofErr w:type="spellEnd"/>
      <w:r w:rsidRPr="000F528E">
        <w:rPr>
          <w:rStyle w:val="relative"/>
          <w:rFonts w:ascii="Arial" w:hAnsi="Arial" w:cs="Arial"/>
          <w:color w:val="000000" w:themeColor="text1"/>
        </w:rPr>
        <w:t xml:space="preserve"> y zonas de calma, facilitan la autorregulación emocional y sensorial. Dispositivos de presión profunda, como mantas pesadas o espacios sensoriales, se asocian con una reducción del estrés y mayor bienestar</w:t>
      </w:r>
      <w:r w:rsidRPr="000F528E">
        <w:rPr>
          <w:rFonts w:ascii="Arial" w:hAnsi="Arial" w:cs="Arial"/>
          <w:color w:val="000000" w:themeColor="text1"/>
        </w:rPr>
        <w:t xml:space="preserve"> .</w:t>
      </w:r>
    </w:p>
    <w:p w:rsidR="000F528E" w:rsidRPr="000F528E" w:rsidRDefault="000F528E" w:rsidP="000F528E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Textoennegrita"/>
          <w:rFonts w:ascii="Arial" w:hAnsi="Arial" w:cs="Arial"/>
          <w:color w:val="000000" w:themeColor="text1"/>
        </w:rPr>
        <w:t>Tecnologías y enfoques complementarios</w:t>
      </w:r>
      <w:r w:rsidRPr="000F528E">
        <w:rPr>
          <w:rStyle w:val="relative"/>
          <w:rFonts w:ascii="Arial" w:hAnsi="Arial" w:cs="Arial"/>
          <w:color w:val="000000" w:themeColor="text1"/>
        </w:rPr>
        <w:t>, como el modelado por video, la comunicación aumentativa (PECS) y las salas sensoriales (</w:t>
      </w:r>
      <w:proofErr w:type="spellStart"/>
      <w:r w:rsidRPr="000F528E">
        <w:rPr>
          <w:rStyle w:val="relative"/>
          <w:rFonts w:ascii="Arial" w:hAnsi="Arial" w:cs="Arial"/>
          <w:color w:val="000000" w:themeColor="text1"/>
        </w:rPr>
        <w:t>snoezelen</w:t>
      </w:r>
      <w:proofErr w:type="spellEnd"/>
      <w:r w:rsidRPr="000F528E">
        <w:rPr>
          <w:rStyle w:val="relative"/>
          <w:rFonts w:ascii="Arial" w:hAnsi="Arial" w:cs="Arial"/>
          <w:color w:val="000000" w:themeColor="text1"/>
        </w:rPr>
        <w:t>), permiten enseñar habilidades sencillas y apoyar la comunicación funcional</w:t>
      </w:r>
      <w:r w:rsidRPr="000F528E">
        <w:rPr>
          <w:rFonts w:ascii="Arial" w:hAnsi="Arial" w:cs="Arial"/>
          <w:color w:val="000000" w:themeColor="text1"/>
        </w:rPr>
        <w:t xml:space="preserve"> </w:t>
      </w:r>
      <w:hyperlink r:id="rId20" w:tgtFrame="_blank" w:history="1"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en.wikipedia.org</w:t>
        </w:r>
      </w:hyperlink>
      <w:r w:rsidRPr="000F528E">
        <w:rPr>
          <w:rFonts w:ascii="Arial" w:hAnsi="Arial" w:cs="Arial"/>
          <w:color w:val="000000" w:themeColor="text1"/>
        </w:rPr>
        <w:t>.</w:t>
      </w:r>
    </w:p>
    <w:p w:rsidR="000F528E" w:rsidRPr="000F528E" w:rsidRDefault="000F528E" w:rsidP="000F528E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Textoennegrita"/>
          <w:rFonts w:ascii="Arial" w:hAnsi="Arial" w:cs="Arial"/>
          <w:color w:val="000000" w:themeColor="text1"/>
        </w:rPr>
        <w:t>En síntesis</w:t>
      </w:r>
      <w:r w:rsidRPr="000F528E">
        <w:rPr>
          <w:rFonts w:ascii="Arial" w:hAnsi="Arial" w:cs="Arial"/>
          <w:color w:val="000000" w:themeColor="text1"/>
        </w:rPr>
        <w:t>, estos recursos —de bajo costo y alta implementación— enriquecen de forma significativa el entorno educativo inclusivo, alineado con los hallazgos de prevalencia local. Las escuelas que adopten estas estrategias estarán mejor equipadas para responder a las necesidades reales de la comunidad: identificar tempranamente el TEA, reducir el estrés en el aula, fomentar la autonomía y brindar oportunidades igualitarias de aprendizaje.</w:t>
      </w:r>
    </w:p>
    <w:p w:rsidR="000F528E" w:rsidRPr="000F528E" w:rsidRDefault="000F528E" w:rsidP="000F528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F528E" w:rsidRPr="000F528E" w:rsidRDefault="000F528E" w:rsidP="000F528E">
      <w:pPr>
        <w:pStyle w:val="Ttulo1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528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Referencias</w:t>
      </w:r>
    </w:p>
    <w:p w:rsidR="000F528E" w:rsidRPr="000F528E" w:rsidRDefault="000F528E" w:rsidP="000F528E">
      <w:pPr>
        <w:pStyle w:val="NormalWeb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 xml:space="preserve">Yáñez, C., Maira, P., Elgueta, C., Brito, M., </w:t>
      </w:r>
      <w:proofErr w:type="spellStart"/>
      <w:r w:rsidRPr="000F528E">
        <w:rPr>
          <w:rStyle w:val="relative"/>
          <w:rFonts w:ascii="Arial" w:hAnsi="Arial" w:cs="Arial"/>
          <w:color w:val="000000" w:themeColor="text1"/>
        </w:rPr>
        <w:t>Crockett</w:t>
      </w:r>
      <w:proofErr w:type="spellEnd"/>
      <w:r w:rsidRPr="000F528E">
        <w:rPr>
          <w:rStyle w:val="relative"/>
          <w:rFonts w:ascii="Arial" w:hAnsi="Arial" w:cs="Arial"/>
          <w:color w:val="000000" w:themeColor="text1"/>
        </w:rPr>
        <w:t xml:space="preserve">, M., Troncoso, L., López, C., &amp; Troncoso, M. (2021). Estimación de la prevalencia de trastorno del Espectro Autista en población urbana chilena. </w:t>
      </w:r>
      <w:r w:rsidRPr="000F528E">
        <w:rPr>
          <w:rStyle w:val="nfasis"/>
          <w:rFonts w:ascii="Arial" w:hAnsi="Arial" w:cs="Arial"/>
          <w:color w:val="000000" w:themeColor="text1"/>
        </w:rPr>
        <w:t>Andes Pediátrica, 92</w:t>
      </w:r>
      <w:r w:rsidRPr="000F528E">
        <w:rPr>
          <w:rStyle w:val="relative"/>
          <w:rFonts w:ascii="Arial" w:hAnsi="Arial" w:cs="Arial"/>
          <w:color w:val="000000" w:themeColor="text1"/>
        </w:rPr>
        <w:t>(4), 519</w:t>
      </w:r>
      <w:r w:rsidRPr="000F528E">
        <w:rPr>
          <w:rStyle w:val="relative"/>
          <w:rFonts w:ascii="Arial" w:hAnsi="Arial" w:cs="Arial"/>
          <w:color w:val="000000" w:themeColor="text1"/>
        </w:rPr>
        <w:noBreakHyphen/>
        <w:t>525.doi:10.32641/andespediatr.v92i4.2503</w:t>
      </w:r>
      <w:r w:rsidRPr="000F528E">
        <w:rPr>
          <w:rFonts w:ascii="Arial" w:hAnsi="Arial" w:cs="Arial"/>
          <w:color w:val="000000" w:themeColor="text1"/>
        </w:rPr>
        <w:t xml:space="preserve"> </w:t>
      </w:r>
      <w:hyperlink r:id="rId21" w:tgtFrame="_blank" w:history="1"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revistachilenadepediatria.cl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+3</w:t>
        </w:r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revistachilenadepediatria.cl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+3</w:t>
        </w:r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journal.icoztar.cl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+3</w:t>
        </w:r>
      </w:hyperlink>
    </w:p>
    <w:p w:rsidR="000F528E" w:rsidRPr="000F528E" w:rsidRDefault="000F528E" w:rsidP="000F528E">
      <w:pPr>
        <w:pStyle w:val="NormalWeb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F528E">
        <w:rPr>
          <w:rStyle w:val="relative"/>
          <w:rFonts w:ascii="Arial" w:hAnsi="Arial" w:cs="Arial"/>
          <w:color w:val="000000" w:themeColor="text1"/>
        </w:rPr>
        <w:t>López</w:t>
      </w:r>
      <w:r w:rsidRPr="000F528E">
        <w:rPr>
          <w:rStyle w:val="relative"/>
          <w:rFonts w:ascii="Arial" w:hAnsi="Arial" w:cs="Arial"/>
          <w:color w:val="000000" w:themeColor="text1"/>
        </w:rPr>
        <w:noBreakHyphen/>
        <w:t xml:space="preserve">Espejo, M. (2025). Tendencias en la prevalencia y carga del trastorno del espectro autista en Chile desde 1990 a 2021. </w:t>
      </w:r>
      <w:r w:rsidRPr="000F528E">
        <w:rPr>
          <w:rStyle w:val="nfasis"/>
          <w:rFonts w:ascii="Arial" w:hAnsi="Arial" w:cs="Arial"/>
          <w:color w:val="000000" w:themeColor="text1"/>
        </w:rPr>
        <w:t>Andes Pediátrica, 96</w:t>
      </w:r>
      <w:r w:rsidRPr="000F528E">
        <w:rPr>
          <w:rStyle w:val="relative"/>
          <w:rFonts w:ascii="Arial" w:hAnsi="Arial" w:cs="Arial"/>
          <w:color w:val="000000" w:themeColor="text1"/>
        </w:rPr>
        <w:t>(2). Prevalencia bruta de TEA en Chile en 2021: 1,06% (IC 95% 0,88</w:t>
      </w:r>
      <w:r w:rsidRPr="000F528E">
        <w:rPr>
          <w:rStyle w:val="relative"/>
          <w:rFonts w:ascii="Arial" w:hAnsi="Arial" w:cs="Arial"/>
          <w:color w:val="000000" w:themeColor="text1"/>
        </w:rPr>
        <w:noBreakHyphen/>
        <w:t>1,25)</w:t>
      </w:r>
      <w:r w:rsidRPr="000F528E">
        <w:rPr>
          <w:rFonts w:ascii="Arial" w:hAnsi="Arial" w:cs="Arial"/>
          <w:color w:val="000000" w:themeColor="text1"/>
        </w:rPr>
        <w:t xml:space="preserve"> </w:t>
      </w:r>
      <w:hyperlink r:id="rId22" w:tgtFrame="_blank" w:history="1"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andespediatrica.cl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+1</w:t>
        </w:r>
        <w:r w:rsidRPr="000F528E">
          <w:rPr>
            <w:rStyle w:val="max-w-full"/>
            <w:rFonts w:ascii="Arial" w:hAnsi="Arial" w:cs="Arial"/>
            <w:color w:val="000000" w:themeColor="text1"/>
            <w:u w:val="single"/>
          </w:rPr>
          <w:t>revistachilenadepediatria.cl</w:t>
        </w:r>
        <w:r w:rsidRPr="000F528E">
          <w:rPr>
            <w:rStyle w:val="-me-1"/>
            <w:rFonts w:ascii="Arial" w:eastAsiaTheme="majorEastAsia" w:hAnsi="Arial" w:cs="Arial"/>
            <w:color w:val="000000" w:themeColor="text1"/>
            <w:u w:val="single"/>
          </w:rPr>
          <w:t>+1</w:t>
        </w:r>
      </w:hyperlink>
    </w:p>
    <w:p w:rsidR="000F528E" w:rsidRPr="00582057" w:rsidRDefault="000F528E" w:rsidP="000F528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03742" w:rsidRDefault="00A03742"/>
    <w:sectPr w:rsidR="00A03742" w:rsidSect="00D07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479"/>
    <w:multiLevelType w:val="multilevel"/>
    <w:tmpl w:val="89BA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97443"/>
    <w:multiLevelType w:val="multilevel"/>
    <w:tmpl w:val="EF0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65A7"/>
    <w:multiLevelType w:val="multilevel"/>
    <w:tmpl w:val="1E4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62E07"/>
    <w:multiLevelType w:val="multilevel"/>
    <w:tmpl w:val="FF8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A76D0"/>
    <w:multiLevelType w:val="multilevel"/>
    <w:tmpl w:val="B76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957C4"/>
    <w:multiLevelType w:val="multilevel"/>
    <w:tmpl w:val="929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F6189"/>
    <w:multiLevelType w:val="multilevel"/>
    <w:tmpl w:val="06A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75650"/>
    <w:multiLevelType w:val="multilevel"/>
    <w:tmpl w:val="F1B4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6403C"/>
    <w:multiLevelType w:val="multilevel"/>
    <w:tmpl w:val="F6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D2473"/>
    <w:multiLevelType w:val="multilevel"/>
    <w:tmpl w:val="29E0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E273C"/>
    <w:multiLevelType w:val="multilevel"/>
    <w:tmpl w:val="A5A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877B8"/>
    <w:multiLevelType w:val="multilevel"/>
    <w:tmpl w:val="5B0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743D0"/>
    <w:multiLevelType w:val="multilevel"/>
    <w:tmpl w:val="AA92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250EA"/>
    <w:multiLevelType w:val="multilevel"/>
    <w:tmpl w:val="ED0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3771C"/>
    <w:multiLevelType w:val="hybridMultilevel"/>
    <w:tmpl w:val="3B2A0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30A33"/>
    <w:multiLevelType w:val="multilevel"/>
    <w:tmpl w:val="04D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64481"/>
    <w:multiLevelType w:val="multilevel"/>
    <w:tmpl w:val="B97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B1F33"/>
    <w:multiLevelType w:val="multilevel"/>
    <w:tmpl w:val="2A58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541A9"/>
    <w:multiLevelType w:val="multilevel"/>
    <w:tmpl w:val="7FA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641DB5"/>
    <w:multiLevelType w:val="hybridMultilevel"/>
    <w:tmpl w:val="DCA65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4094">
    <w:abstractNumId w:val="10"/>
  </w:num>
  <w:num w:numId="2" w16cid:durableId="1238902162">
    <w:abstractNumId w:val="7"/>
  </w:num>
  <w:num w:numId="3" w16cid:durableId="1386222320">
    <w:abstractNumId w:val="6"/>
  </w:num>
  <w:num w:numId="4" w16cid:durableId="117113447">
    <w:abstractNumId w:val="14"/>
  </w:num>
  <w:num w:numId="5" w16cid:durableId="1029063904">
    <w:abstractNumId w:val="19"/>
  </w:num>
  <w:num w:numId="6" w16cid:durableId="1617708986">
    <w:abstractNumId w:val="1"/>
  </w:num>
  <w:num w:numId="7" w16cid:durableId="1891263664">
    <w:abstractNumId w:val="16"/>
  </w:num>
  <w:num w:numId="8" w16cid:durableId="82579848">
    <w:abstractNumId w:val="0"/>
  </w:num>
  <w:num w:numId="9" w16cid:durableId="621038740">
    <w:abstractNumId w:val="11"/>
  </w:num>
  <w:num w:numId="10" w16cid:durableId="1764764621">
    <w:abstractNumId w:val="3"/>
  </w:num>
  <w:num w:numId="11" w16cid:durableId="1112019078">
    <w:abstractNumId w:val="8"/>
  </w:num>
  <w:num w:numId="12" w16cid:durableId="1983802024">
    <w:abstractNumId w:val="9"/>
  </w:num>
  <w:num w:numId="13" w16cid:durableId="1771047922">
    <w:abstractNumId w:val="2"/>
  </w:num>
  <w:num w:numId="14" w16cid:durableId="1278952744">
    <w:abstractNumId w:val="18"/>
  </w:num>
  <w:num w:numId="15" w16cid:durableId="1187791299">
    <w:abstractNumId w:val="15"/>
  </w:num>
  <w:num w:numId="16" w16cid:durableId="131560851">
    <w:abstractNumId w:val="5"/>
  </w:num>
  <w:num w:numId="17" w16cid:durableId="961307438">
    <w:abstractNumId w:val="13"/>
  </w:num>
  <w:num w:numId="18" w16cid:durableId="2081319867">
    <w:abstractNumId w:val="4"/>
  </w:num>
  <w:num w:numId="19" w16cid:durableId="1315908822">
    <w:abstractNumId w:val="17"/>
  </w:num>
  <w:num w:numId="20" w16cid:durableId="279337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8E"/>
    <w:rsid w:val="000F528E"/>
    <w:rsid w:val="00A03742"/>
    <w:rsid w:val="00A86914"/>
    <w:rsid w:val="00D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99DF"/>
  <w15:chartTrackingRefBased/>
  <w15:docId w15:val="{D412CD29-01A7-8046-8851-3C11AA8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8E"/>
  </w:style>
  <w:style w:type="paragraph" w:styleId="Ttulo1">
    <w:name w:val="heading 1"/>
    <w:basedOn w:val="Normal"/>
    <w:next w:val="Normal"/>
    <w:link w:val="Ttulo1Car"/>
    <w:uiPriority w:val="9"/>
    <w:qFormat/>
    <w:rsid w:val="000F5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5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F52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52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5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F528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0F52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0F528E"/>
    <w:rPr>
      <w:b/>
      <w:bCs/>
    </w:rPr>
  </w:style>
  <w:style w:type="table" w:styleId="Tablaconcuadrcula">
    <w:name w:val="Table Grid"/>
    <w:basedOn w:val="Tablanormal"/>
    <w:uiPriority w:val="39"/>
    <w:rsid w:val="000F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F528E"/>
    <w:rPr>
      <w:i/>
      <w:iCs/>
    </w:rPr>
  </w:style>
  <w:style w:type="paragraph" w:styleId="Prrafodelista">
    <w:name w:val="List Paragraph"/>
    <w:basedOn w:val="Normal"/>
    <w:uiPriority w:val="34"/>
    <w:qFormat/>
    <w:rsid w:val="000F528E"/>
    <w:pPr>
      <w:ind w:left="720"/>
      <w:contextualSpacing/>
    </w:pPr>
  </w:style>
  <w:style w:type="character" w:customStyle="1" w:styleId="relative">
    <w:name w:val="relative"/>
    <w:basedOn w:val="Fuentedeprrafopredeter"/>
    <w:rsid w:val="000F528E"/>
  </w:style>
  <w:style w:type="character" w:customStyle="1" w:styleId="Ttulo4Car">
    <w:name w:val="Título 4 Car"/>
    <w:basedOn w:val="Fuentedeprrafopredeter"/>
    <w:link w:val="Ttulo4"/>
    <w:uiPriority w:val="9"/>
    <w:semiHidden/>
    <w:rsid w:val="000F52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-1">
    <w:name w:val="ms-1"/>
    <w:basedOn w:val="Fuentedeprrafopredeter"/>
    <w:rsid w:val="000F528E"/>
  </w:style>
  <w:style w:type="character" w:customStyle="1" w:styleId="max-w-full">
    <w:name w:val="max-w-full"/>
    <w:basedOn w:val="Fuentedeprrafopredeter"/>
    <w:rsid w:val="000F528E"/>
  </w:style>
  <w:style w:type="character" w:customStyle="1" w:styleId="-me-1">
    <w:name w:val="-me-1"/>
    <w:basedOn w:val="Fuentedeprrafopredeter"/>
    <w:rsid w:val="000F528E"/>
  </w:style>
  <w:style w:type="character" w:styleId="Hipervnculo">
    <w:name w:val="Hyperlink"/>
    <w:basedOn w:val="Fuentedeprrafopredeter"/>
    <w:uiPriority w:val="99"/>
    <w:unhideWhenUsed/>
    <w:rsid w:val="000F52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28E"/>
    <w:rPr>
      <w:color w:val="954F72" w:themeColor="followedHyperlink"/>
      <w:u w:val="single"/>
    </w:rPr>
  </w:style>
  <w:style w:type="table" w:styleId="Tablaconcuadrcula2-nfasis1">
    <w:name w:val="Grid Table 2 Accent 1"/>
    <w:basedOn w:val="Tablanormal"/>
    <w:uiPriority w:val="47"/>
    <w:rsid w:val="000F528E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visual-thinking-and-autism-5119992?utm_source=chatgpt.com" TargetMode="External"/><Relationship Id="rId13" Type="http://schemas.openxmlformats.org/officeDocument/2006/relationships/hyperlink" Target="https://www.joincoralcare.com/blog/part-ii-essential-autism-resources-for-teachers-tools-for-effective-classroom-support?utm_source=chatgpt.com" TargetMode="External"/><Relationship Id="rId18" Type="http://schemas.openxmlformats.org/officeDocument/2006/relationships/hyperlink" Target="https://en.wikipedia.org/wiki/Hug_machine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vistachilenadepediatria.cl/index.php/rchped/article/view/2503?utm_source=chatgpt.com" TargetMode="External"/><Relationship Id="rId7" Type="http://schemas.openxmlformats.org/officeDocument/2006/relationships/hyperlink" Target="https://affinityabc.com/how-to-teach-children-with-autism/?utm_source=chatgpt.com" TargetMode="External"/><Relationship Id="rId12" Type="http://schemas.openxmlformats.org/officeDocument/2006/relationships/hyperlink" Target="https://corp.publicschoolworks.com/resource/supporting-sensory-regulation-tools-for-autistic-students/?utm_source=chatgpt.com" TargetMode="External"/><Relationship Id="rId17" Type="http://schemas.openxmlformats.org/officeDocument/2006/relationships/hyperlink" Target="https://en.wikipedia.org/wiki/Snoezelen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rywellhealth.com/assistive-technology-for-autism-5076159?utm_source=chatgpt.com" TargetMode="External"/><Relationship Id="rId20" Type="http://schemas.openxmlformats.org/officeDocument/2006/relationships/hyperlink" Target="https://en.wikipedia.org/wiki/Snoezelen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rywellhealth.com/visual-thinking-and-autism-5119992?utm_source=chatgpt.com" TargetMode="External"/><Relationship Id="rId11" Type="http://schemas.openxmlformats.org/officeDocument/2006/relationships/hyperlink" Target="https://corp.publicschoolworks.com/resource/supporting-sensory-regulation-tools-for-autistic-students/?utm_source=chatgpt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eneducate.com/resources/5-strategies-for-teaching-children-with-autism?utm_source=chatgpt.com" TargetMode="External"/><Relationship Id="rId15" Type="http://schemas.openxmlformats.org/officeDocument/2006/relationships/hyperlink" Target="https://theautismhelper.com/sensory-room-setup-the-tools/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rp.publicschoolworks.com/resource/supporting-sensory-regulation-tools-for-autistic-students/?utm_source=chatgpt.com" TargetMode="External"/><Relationship Id="rId19" Type="http://schemas.openxmlformats.org/officeDocument/2006/relationships/hyperlink" Target="https://nasenjournals.onlinelibrary.wiley.com/doi/10.1111/1471-3802.12409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odlenook.net/autism-teaching-tools/?utm_source=chatgpt.com" TargetMode="External"/><Relationship Id="rId14" Type="http://schemas.openxmlformats.org/officeDocument/2006/relationships/hyperlink" Target="https://www.milestoneeducation.co.uk/post/the-best-sensory-products-for-teachers-to-create-an-inclusive-classroom-environment?utm_source=chatgpt.com" TargetMode="External"/><Relationship Id="rId22" Type="http://schemas.openxmlformats.org/officeDocument/2006/relationships/hyperlink" Target="https://www.andespediatrica.cl/index.php/rchped/article/view/5223?utm_source=chatgp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1785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2025-07-02T03:09:00Z</dcterms:created>
  <dcterms:modified xsi:type="dcterms:W3CDTF">2025-07-02T03:32:00Z</dcterms:modified>
</cp:coreProperties>
</file>